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>ПАСПОРТ</w:t>
      </w:r>
    </w:p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>«Производство носимых медицинских устройств»</w:t>
      </w:r>
    </w:p>
    <w:p w:rsidR="00392008" w:rsidRPr="00392008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0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392008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 w:rsidRPr="00392008">
        <w:rPr>
          <w:rFonts w:ascii="Times New Roman" w:hAnsi="Times New Roman" w:cs="Times New Roman"/>
          <w:sz w:val="28"/>
          <w:szCs w:val="28"/>
        </w:rPr>
        <w:t xml:space="preserve"> проекта)</w:t>
      </w:r>
    </w:p>
    <w:p w:rsidR="00392008" w:rsidRDefault="00392008" w:rsidP="00392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6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76"/>
        <w:gridCol w:w="1411"/>
        <w:gridCol w:w="1991"/>
        <w:gridCol w:w="1701"/>
        <w:gridCol w:w="1484"/>
        <w:gridCol w:w="2322"/>
        <w:gridCol w:w="2322"/>
        <w:gridCol w:w="2322"/>
      </w:tblGrid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инвестиционном проекте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носимых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принадлежность, код </w:t>
            </w:r>
            <w:hyperlink r:id="rId6" w:history="1">
              <w:r w:rsidRPr="007F2A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26.60.4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носимая электроника — присоединенные, носимые или портативные устройства, используемые в целях здравоохранения, которые используют датчики для мониторинга, анализа и записи метаболических изменений в организме. Такие гаджеты позволяют, к примеру, контролировать уровень сахара в крови, температуру тела, артериальное давление, частоту сердцебиения, состояние организма во время сна, фаз сна, температуры кожи и т.д. </w:t>
            </w:r>
          </w:p>
          <w:p w:rsidR="00392008" w:rsidRPr="007F2A21" w:rsidRDefault="009002AE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рамках настоящего проекта в Славянском районе Краснодарского края планируется строительство специализированного производства носимых медицинских устройств.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7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тыс. единиц изделий/год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рынка потребления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Жители Краснодарского края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конкуренции на территории Краснодарского края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ресурсов для реализации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обеспеченный необходимыми инженерными мощностями 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Текущие результаты по проекту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Подобран земельный участок, составлен бизнес-план проекта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потребления ресурсов (годовой)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Электроэнергия, МВт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Газ, млн. м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Вода, млн. м</w:t>
            </w:r>
            <w:r w:rsidR="0037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08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оценка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проекта, млн. руб.:</w:t>
            </w:r>
          </w:p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294,25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294,25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Ранее привлеченные средства,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Потребность в инвестициях,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294,25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Формы инвестирования (условия участия инвестора):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 w:rsidP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Прямые инвестиции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Форма возврата инвестиций: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 w:rsidP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возврата инвестиций: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5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008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экономической эффективности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 (NPV),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Простой срок окупаемости, лет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Внутренняя норма доходности (IRR)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Индекс прибыльности (PI)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Валовая выручка, млн. руб. в год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299,47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Число новых рабочих мест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 (тыс. руб. в год)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Среднегодовая сумма налоговых платежей,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60,28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 в консолидированный бюджет края,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 w:rsidP="009002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земельном участке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Славянский район, г. Славянск-на-Кубани, ул.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, 2/2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учет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23:48:0303006:1158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7748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под размещение производственной базы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используется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зданий, строений, сооружений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Разрешительная, градостроительная документация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18 сессии Славянского городского поселения № 2 от 22.12.2021 г.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(правообладателе) земельного участка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Славянский район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Славянский район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обременениях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обременения, ограничения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Характеристика существующей инженерной инфраструктуры</w:t>
            </w:r>
          </w:p>
        </w:tc>
      </w:tr>
      <w:tr w:rsidR="009002A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E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 питания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ПС 110/35/10 «Славянская» ВЛ-10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С-13</w:t>
            </w:r>
          </w:p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Высокий класс напряжения – от 110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до 220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081CD0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в сети,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28325D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ОАО "Славянскгоргаз"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28325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28325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т 0,3 до 0,6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ОАО "Славянскгоргаз"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C23FBD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т 0,3 до 0,6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2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Кубаньводоканал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качество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4079C4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Тип сооружений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Телефонизация/ интернет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Центральная сеть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A21" w:rsidRPr="007F2A21" w:rsidTr="007F2A21">
        <w:trPr>
          <w:gridAfter w:val="3"/>
          <w:wAfter w:w="6966" w:type="dxa"/>
          <w:trHeight w:val="5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муниципального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7F2A21" w:rsidRPr="007F2A21" w:rsidTr="007F2A21">
        <w:trPr>
          <w:gridAfter w:val="3"/>
          <w:wAfter w:w="6966" w:type="dxa"/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ближайшего населенного пункта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Крымск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50.0 </w:t>
            </w:r>
          </w:p>
        </w:tc>
      </w:tr>
      <w:tr w:rsidR="007F2A21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Краснодар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83.0 </w:t>
            </w:r>
          </w:p>
        </w:tc>
      </w:tr>
      <w:tr w:rsidR="007F2A21" w:rsidRPr="007F2A21" w:rsidTr="007F2A21">
        <w:trPr>
          <w:gridAfter w:val="3"/>
          <w:wAfter w:w="6966" w:type="dxa"/>
          <w:trHeight w:val="14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1" w:rsidRPr="007F2A21" w:rsidRDefault="007F2A21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автодороги (федерального, краевого, местного значения)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Автодорога ОП ФЗ А-289 Краснодар - Славянск-на-Кубани - Темрюк - автомобильная дорога А-290 Новороссийск - Керчь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21" w:rsidRPr="007F2A21" w:rsidRDefault="007F2A21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ближайшей железнодорожной станции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Станция «Протока» г.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331EF6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bookmarkStart w:id="0" w:name="_GoBack"/>
            <w:bookmarkEnd w:id="0"/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ближайших железнодорожных путей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перегон Крымская-Тимашевская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аэропорта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Анапа им. В. К. Коккинаки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морского порта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C6B9E" w:rsidRPr="007F2A21" w:rsidTr="007F2A21">
        <w:trPr>
          <w:trHeight w:val="375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Дополнительная информация о земельном участке</w:t>
            </w:r>
          </w:p>
        </w:tc>
        <w:tc>
          <w:tcPr>
            <w:tcW w:w="2322" w:type="dxa"/>
          </w:tcPr>
          <w:p w:rsidR="006C6B9E" w:rsidRPr="007F2A21" w:rsidRDefault="006C6B9E" w:rsidP="007F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Новороссийский Морской торговый порт</w:t>
            </w:r>
          </w:p>
        </w:tc>
        <w:tc>
          <w:tcPr>
            <w:tcW w:w="2322" w:type="dxa"/>
            <w:vAlign w:val="center"/>
          </w:tcPr>
          <w:p w:rsidR="006C6B9E" w:rsidRPr="007F2A21" w:rsidRDefault="006C6B9E" w:rsidP="007F2A21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94.0 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Рельеф участка ровный, уровень грунтовых вод 0,0-0,5м; фоновая сейсмичность 8 баллов; господствующее направление ветров северо-восточное, возможно подтопление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права аренды (собственности) земельного участка,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Координаты (долгота, широта)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45.232366 38.141089</w:t>
            </w:r>
          </w:p>
        </w:tc>
      </w:tr>
      <w:tr w:rsidR="006C6B9E" w:rsidRPr="007F2A21" w:rsidTr="004541C3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Контактные данные</w:t>
            </w: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об инициаторе (инвесторе)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9E" w:rsidRPr="007F2A21" w:rsidTr="007F2A21">
        <w:trPr>
          <w:gridAfter w:val="3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 заявителе (органа исполнительной власти края/органа местного самоуправления)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E" w:rsidRPr="007F2A21" w:rsidRDefault="006C6B9E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331E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Славянский район</w:t>
            </w:r>
          </w:p>
        </w:tc>
      </w:tr>
    </w:tbl>
    <w:p w:rsidR="008E4561" w:rsidRDefault="008E4561" w:rsidP="007F2A21">
      <w:pPr>
        <w:spacing w:after="0"/>
      </w:pPr>
    </w:p>
    <w:p w:rsidR="007F2A21" w:rsidRDefault="007F2A21" w:rsidP="007F2A21">
      <w:pPr>
        <w:spacing w:after="0"/>
      </w:pPr>
    </w:p>
    <w:sectPr w:rsidR="007F2A21" w:rsidSect="006C6B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C"/>
    <w:rsid w:val="00085975"/>
    <w:rsid w:val="00331EF6"/>
    <w:rsid w:val="00373B23"/>
    <w:rsid w:val="00392008"/>
    <w:rsid w:val="006C6B9E"/>
    <w:rsid w:val="00753114"/>
    <w:rsid w:val="007F2A21"/>
    <w:rsid w:val="008E4561"/>
    <w:rsid w:val="009002AE"/>
    <w:rsid w:val="009836FF"/>
    <w:rsid w:val="00E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C057138CC20D7A03E8EF6EC11C9445686080DC2C878B0D9816083FC23E2793D2C37C96A4294EE9C252C2F5EB6962B7A60C966032044D9Dq7e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89FA-F6F9-4D32-9836-83906A81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Первый заместитель главы муниципального</vt:lpstr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Гильгинберг Лина Александровна</dc:creator>
  <cp:keywords/>
  <dc:description/>
  <cp:lastModifiedBy>Гильгинберг Лина Александровна</cp:lastModifiedBy>
  <cp:revision>6</cp:revision>
  <dcterms:created xsi:type="dcterms:W3CDTF">2022-05-11T13:30:00Z</dcterms:created>
  <dcterms:modified xsi:type="dcterms:W3CDTF">2022-05-16T13:01:00Z</dcterms:modified>
</cp:coreProperties>
</file>